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43F2" w:rsidRPr="005A43F2" w:rsidRDefault="005E744B" w:rsidP="005E744B">
      <w:pPr>
        <w:spacing w:after="160" w:line="259" w:lineRule="auto"/>
        <w:jc w:val="both"/>
        <w:rPr>
          <w:rFonts w:ascii="Palatino Linotype" w:eastAsia="Calibri" w:hAnsi="Palatino Linotype" w:cs="Arial"/>
          <w:b/>
          <w:bCs/>
        </w:rPr>
      </w:pPr>
      <w:r w:rsidRPr="005E744B">
        <w:rPr>
          <w:rFonts w:ascii="Palatino Linotype" w:eastAsia="Calibri" w:hAnsi="Palatino Linotype" w:cs="Arial"/>
          <w:b/>
          <w:bCs/>
        </w:rPr>
        <w:t>Supplementary material 2</w:t>
      </w:r>
      <w:r w:rsidR="005A43F2" w:rsidRPr="005A43F2">
        <w:rPr>
          <w:rFonts w:ascii="Palatino Linotype" w:eastAsia="Calibri" w:hAnsi="Palatino Linotype" w:cs="Arial"/>
          <w:b/>
          <w:bCs/>
        </w:rPr>
        <w:t>: Criteria for quality rating of measurement properties</w:t>
      </w:r>
    </w:p>
    <w:tbl>
      <w:tblPr>
        <w:tblStyle w:val="TableGrid"/>
        <w:tblW w:w="11160" w:type="dxa"/>
        <w:tblInd w:w="-725" w:type="dxa"/>
        <w:tblLook w:val="04A0" w:firstRow="1" w:lastRow="0" w:firstColumn="1" w:lastColumn="0" w:noHBand="0" w:noVBand="1"/>
      </w:tblPr>
      <w:tblGrid>
        <w:gridCol w:w="3060"/>
        <w:gridCol w:w="8100"/>
      </w:tblGrid>
      <w:tr w:rsidR="005A43F2" w:rsidRPr="005A43F2" w:rsidTr="003C1E9D">
        <w:tc>
          <w:tcPr>
            <w:tcW w:w="3060" w:type="dxa"/>
          </w:tcPr>
          <w:p w:rsidR="005A43F2" w:rsidRPr="005A43F2" w:rsidRDefault="005A43F2" w:rsidP="005A43F2">
            <w:pPr>
              <w:jc w:val="both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bookmarkStart w:id="0" w:name="_GoBack" w:colFirst="1" w:colLast="1"/>
            <w:r w:rsidRPr="005A43F2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Measurement properties</w:t>
            </w:r>
          </w:p>
        </w:tc>
        <w:tc>
          <w:tcPr>
            <w:tcW w:w="8100" w:type="dxa"/>
          </w:tcPr>
          <w:p w:rsidR="005A43F2" w:rsidRPr="005A43F2" w:rsidRDefault="005A43F2" w:rsidP="005A43F2">
            <w:pPr>
              <w:jc w:val="both"/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</w:pPr>
            <w:r w:rsidRPr="005A43F2">
              <w:rPr>
                <w:rFonts w:ascii="Palatino Linotype" w:eastAsia="Calibri" w:hAnsi="Palatino Linotype" w:cs="Arial"/>
                <w:b/>
                <w:bCs/>
                <w:sz w:val="20"/>
                <w:szCs w:val="20"/>
              </w:rPr>
              <w:t>Criteria for ‘adequate’ rating</w:t>
            </w:r>
          </w:p>
        </w:tc>
      </w:tr>
      <w:tr w:rsidR="005A43F2" w:rsidRPr="005A43F2" w:rsidTr="003C1E9D">
        <w:tc>
          <w:tcPr>
            <w:tcW w:w="3060" w:type="dxa"/>
          </w:tcPr>
          <w:p w:rsidR="005A43F2" w:rsidRPr="005A43F2" w:rsidRDefault="005A43F2" w:rsidP="005A43F2">
            <w:pPr>
              <w:jc w:val="both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5A43F2">
              <w:rPr>
                <w:rFonts w:ascii="Palatino Linotype" w:eastAsia="Calibri" w:hAnsi="Palatino Linotype" w:cs="Arial"/>
                <w:sz w:val="20"/>
                <w:szCs w:val="20"/>
              </w:rPr>
              <w:t>Internal consistency</w:t>
            </w:r>
          </w:p>
        </w:tc>
        <w:tc>
          <w:tcPr>
            <w:tcW w:w="8100" w:type="dxa"/>
          </w:tcPr>
          <w:p w:rsidR="005A43F2" w:rsidRPr="005A43F2" w:rsidRDefault="005A43F2" w:rsidP="005A43F2">
            <w:pPr>
              <w:jc w:val="both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5A43F2">
              <w:rPr>
                <w:rFonts w:ascii="Palatino Linotype" w:eastAsia="Calibri" w:hAnsi="Palatino Linotype" w:cs="Arial"/>
                <w:sz w:val="20"/>
                <w:szCs w:val="20"/>
              </w:rPr>
              <w:t>Cronbach’s alpha is ≥ 0.70.</w:t>
            </w:r>
          </w:p>
        </w:tc>
      </w:tr>
      <w:tr w:rsidR="005A43F2" w:rsidRPr="005A43F2" w:rsidTr="003C1E9D">
        <w:tc>
          <w:tcPr>
            <w:tcW w:w="3060" w:type="dxa"/>
          </w:tcPr>
          <w:p w:rsidR="005A43F2" w:rsidRPr="005A43F2" w:rsidRDefault="005A43F2" w:rsidP="005A43F2">
            <w:pPr>
              <w:jc w:val="both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5A43F2">
              <w:rPr>
                <w:rFonts w:ascii="Palatino Linotype" w:eastAsia="Calibri" w:hAnsi="Palatino Linotype" w:cs="Arial"/>
                <w:sz w:val="20"/>
                <w:szCs w:val="20"/>
              </w:rPr>
              <w:t>Reliability</w:t>
            </w:r>
          </w:p>
        </w:tc>
        <w:tc>
          <w:tcPr>
            <w:tcW w:w="8100" w:type="dxa"/>
          </w:tcPr>
          <w:p w:rsidR="005A43F2" w:rsidRPr="005A43F2" w:rsidRDefault="005A43F2" w:rsidP="005A43F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5A43F2">
              <w:rPr>
                <w:rFonts w:ascii="Palatino Linotype" w:eastAsia="Calibri" w:hAnsi="Palatino Linotype" w:cs="Arial"/>
                <w:sz w:val="20"/>
                <w:szCs w:val="20"/>
              </w:rPr>
              <w:t>Interclass correlation coefficient for continuous variables or weighted Kappa for ordinal variables is ≥ 0.70.</w:t>
            </w:r>
          </w:p>
        </w:tc>
      </w:tr>
      <w:tr w:rsidR="005A43F2" w:rsidRPr="005A43F2" w:rsidTr="003C1E9D">
        <w:tc>
          <w:tcPr>
            <w:tcW w:w="3060" w:type="dxa"/>
          </w:tcPr>
          <w:p w:rsidR="005A43F2" w:rsidRPr="005A43F2" w:rsidRDefault="005A43F2" w:rsidP="005A43F2">
            <w:pPr>
              <w:jc w:val="both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5A43F2">
              <w:rPr>
                <w:rFonts w:ascii="Palatino Linotype" w:eastAsia="Calibri" w:hAnsi="Palatino Linotype" w:cs="Arial"/>
                <w:sz w:val="20"/>
                <w:szCs w:val="20"/>
              </w:rPr>
              <w:t>Measurement error</w:t>
            </w:r>
          </w:p>
        </w:tc>
        <w:tc>
          <w:tcPr>
            <w:tcW w:w="8100" w:type="dxa"/>
          </w:tcPr>
          <w:p w:rsidR="005A43F2" w:rsidRPr="005A43F2" w:rsidRDefault="005A43F2" w:rsidP="005A43F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5A43F2">
              <w:rPr>
                <w:rFonts w:ascii="Palatino Linotype" w:eastAsia="Calibri" w:hAnsi="Palatino Linotype" w:cs="Arial"/>
                <w:sz w:val="20"/>
                <w:szCs w:val="20"/>
              </w:rPr>
              <w:t>Smallest detectable change (SDC) is less than minimal important Change (MIC) or if the MIC is outside the limit of agreement.</w:t>
            </w:r>
          </w:p>
        </w:tc>
      </w:tr>
      <w:tr w:rsidR="005A43F2" w:rsidRPr="005A43F2" w:rsidTr="003C1E9D">
        <w:tc>
          <w:tcPr>
            <w:tcW w:w="3060" w:type="dxa"/>
          </w:tcPr>
          <w:p w:rsidR="005A43F2" w:rsidRPr="005A43F2" w:rsidRDefault="005A43F2" w:rsidP="005A43F2">
            <w:pPr>
              <w:jc w:val="both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5A43F2">
              <w:rPr>
                <w:rFonts w:ascii="Palatino Linotype" w:eastAsia="Calibri" w:hAnsi="Palatino Linotype" w:cs="Arial"/>
                <w:sz w:val="20"/>
                <w:szCs w:val="20"/>
              </w:rPr>
              <w:t>Content validity</w:t>
            </w:r>
          </w:p>
        </w:tc>
        <w:tc>
          <w:tcPr>
            <w:tcW w:w="8100" w:type="dxa"/>
          </w:tcPr>
          <w:p w:rsidR="005A43F2" w:rsidRPr="005A43F2" w:rsidRDefault="005A43F2" w:rsidP="005A43F2">
            <w:pPr>
              <w:jc w:val="both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5A43F2">
              <w:rPr>
                <w:rFonts w:ascii="Palatino Linotype" w:eastAsia="Calibri" w:hAnsi="Palatino Linotype" w:cs="Arial"/>
                <w:sz w:val="20"/>
                <w:szCs w:val="20"/>
              </w:rPr>
              <w:t>The items are relevant to the construct being measured</w:t>
            </w:r>
          </w:p>
        </w:tc>
      </w:tr>
      <w:tr w:rsidR="005A43F2" w:rsidRPr="005A43F2" w:rsidTr="003C1E9D">
        <w:tc>
          <w:tcPr>
            <w:tcW w:w="3060" w:type="dxa"/>
          </w:tcPr>
          <w:p w:rsidR="005A43F2" w:rsidRPr="005A43F2" w:rsidRDefault="005A43F2" w:rsidP="005A43F2">
            <w:pPr>
              <w:jc w:val="both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5A43F2">
              <w:rPr>
                <w:rFonts w:ascii="Palatino Linotype" w:eastAsia="Calibri" w:hAnsi="Palatino Linotype" w:cs="Arial"/>
                <w:sz w:val="20"/>
                <w:szCs w:val="20"/>
              </w:rPr>
              <w:t>Construct  validity</w:t>
            </w:r>
          </w:p>
        </w:tc>
        <w:tc>
          <w:tcPr>
            <w:tcW w:w="8100" w:type="dxa"/>
          </w:tcPr>
          <w:p w:rsidR="005A43F2" w:rsidRPr="005A43F2" w:rsidRDefault="005A43F2" w:rsidP="005A43F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5A43F2">
              <w:rPr>
                <w:rFonts w:ascii="Palatino Linotype" w:eastAsia="Calibri" w:hAnsi="Palatino Linotype" w:cs="Arial"/>
                <w:sz w:val="20"/>
                <w:szCs w:val="20"/>
              </w:rPr>
              <w:t>Factor analysis shows that the instrument items explain more than 50% of the total variance</w:t>
            </w:r>
          </w:p>
        </w:tc>
      </w:tr>
      <w:tr w:rsidR="005A43F2" w:rsidRPr="005A43F2" w:rsidTr="003C1E9D">
        <w:tc>
          <w:tcPr>
            <w:tcW w:w="3060" w:type="dxa"/>
          </w:tcPr>
          <w:p w:rsidR="005A43F2" w:rsidRPr="005A43F2" w:rsidRDefault="005A43F2" w:rsidP="005A43F2">
            <w:pPr>
              <w:jc w:val="both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5A43F2">
              <w:rPr>
                <w:rFonts w:ascii="Palatino Linotype" w:eastAsia="Calibri" w:hAnsi="Palatino Linotype" w:cs="Arial"/>
                <w:sz w:val="20"/>
                <w:szCs w:val="20"/>
              </w:rPr>
              <w:t>Hypothesis testing</w:t>
            </w:r>
          </w:p>
        </w:tc>
        <w:tc>
          <w:tcPr>
            <w:tcW w:w="8100" w:type="dxa"/>
          </w:tcPr>
          <w:p w:rsidR="005A43F2" w:rsidRPr="005A43F2" w:rsidRDefault="005A43F2" w:rsidP="005A43F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5A43F2">
              <w:rPr>
                <w:rFonts w:ascii="Palatino Linotype" w:eastAsia="Calibri" w:hAnsi="Palatino Linotype" w:cs="Arial"/>
                <w:sz w:val="20"/>
                <w:szCs w:val="20"/>
              </w:rPr>
              <w:t xml:space="preserve">Correlation with other instruments that assess oral heal literacy (convergent validity) is ≥ 0.50, or ≥ 75% of the findings are accordance with the </w:t>
            </w:r>
            <w:r w:rsidRPr="005A43F2">
              <w:rPr>
                <w:rFonts w:ascii="Palatino Linotype" w:eastAsia="Calibri" w:hAnsi="Palatino Linotype" w:cs="Arial"/>
                <w:i/>
                <w:iCs/>
                <w:sz w:val="20"/>
                <w:szCs w:val="20"/>
              </w:rPr>
              <w:t xml:space="preserve">a priori </w:t>
            </w:r>
            <w:r w:rsidRPr="005A43F2">
              <w:rPr>
                <w:rFonts w:ascii="Palatino Linotype" w:eastAsia="Calibri" w:hAnsi="Palatino Linotype" w:cs="Arial"/>
                <w:sz w:val="20"/>
                <w:szCs w:val="20"/>
              </w:rPr>
              <w:t xml:space="preserve">hypothesis. </w:t>
            </w:r>
          </w:p>
        </w:tc>
      </w:tr>
      <w:tr w:rsidR="005A43F2" w:rsidRPr="005A43F2" w:rsidTr="003C1E9D">
        <w:tc>
          <w:tcPr>
            <w:tcW w:w="3060" w:type="dxa"/>
          </w:tcPr>
          <w:p w:rsidR="005A43F2" w:rsidRPr="005A43F2" w:rsidRDefault="005A43F2" w:rsidP="005A43F2">
            <w:pPr>
              <w:jc w:val="both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5A43F2">
              <w:rPr>
                <w:rFonts w:ascii="Palatino Linotype" w:eastAsia="Calibri" w:hAnsi="Palatino Linotype" w:cs="Arial"/>
                <w:sz w:val="20"/>
                <w:szCs w:val="20"/>
              </w:rPr>
              <w:t>Cross-cultural validity</w:t>
            </w:r>
          </w:p>
        </w:tc>
        <w:tc>
          <w:tcPr>
            <w:tcW w:w="8100" w:type="dxa"/>
          </w:tcPr>
          <w:p w:rsidR="005A43F2" w:rsidRPr="005A43F2" w:rsidRDefault="005A43F2" w:rsidP="005A43F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5A43F2">
              <w:rPr>
                <w:rFonts w:ascii="Palatino Linotype" w:eastAsia="Calibri" w:hAnsi="Palatino Linotype" w:cs="Arial"/>
                <w:sz w:val="20"/>
                <w:szCs w:val="20"/>
              </w:rPr>
              <w:t>Factor analysis, logistic regression, or item response theory techniques detected differential item function between two or more language groups for the instrument.</w:t>
            </w:r>
            <w:r w:rsidRPr="005A43F2">
              <w:rPr>
                <w:rFonts w:ascii="Palatino Linotype" w:eastAsia="Calibri" w:hAnsi="Palatino Linotype" w:cs="Arial"/>
                <w:sz w:val="20"/>
                <w:szCs w:val="20"/>
              </w:rPr>
              <w:br/>
              <w:t>A score of ‘unclear’ is given for this criterion for all instruments because there is no ‘gold standard’ for measuring oral health literacy.</w:t>
            </w:r>
          </w:p>
        </w:tc>
      </w:tr>
      <w:tr w:rsidR="005A43F2" w:rsidRPr="005A43F2" w:rsidTr="003C1E9D">
        <w:tc>
          <w:tcPr>
            <w:tcW w:w="3060" w:type="dxa"/>
          </w:tcPr>
          <w:p w:rsidR="005A43F2" w:rsidRPr="005A43F2" w:rsidRDefault="005A43F2" w:rsidP="005A43F2">
            <w:pPr>
              <w:jc w:val="both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5A43F2">
              <w:rPr>
                <w:rFonts w:ascii="Palatino Linotype" w:eastAsia="Calibri" w:hAnsi="Palatino Linotype" w:cs="Arial"/>
                <w:sz w:val="20"/>
                <w:szCs w:val="20"/>
              </w:rPr>
              <w:t>Responsiveness</w:t>
            </w:r>
          </w:p>
        </w:tc>
        <w:tc>
          <w:tcPr>
            <w:tcW w:w="8100" w:type="dxa"/>
          </w:tcPr>
          <w:p w:rsidR="005A43F2" w:rsidRPr="005A43F2" w:rsidRDefault="005A43F2" w:rsidP="005A43F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5A43F2">
              <w:rPr>
                <w:rFonts w:ascii="Palatino Linotype" w:eastAsia="Calibri" w:hAnsi="Palatino Linotype" w:cs="Arial"/>
                <w:sz w:val="20"/>
                <w:szCs w:val="20"/>
              </w:rPr>
              <w:t>Correlation with the change score of an instrument assessing oral health literacy is ≥ 0.5, or if ≥ 75% of the findings were in accordance with a priori defined hypotheses, or if the area under the receiver operator characteristic curve (ROC) ≥ 0.70.</w:t>
            </w:r>
          </w:p>
        </w:tc>
      </w:tr>
      <w:tr w:rsidR="005A43F2" w:rsidRPr="005A43F2" w:rsidTr="003C1E9D">
        <w:tc>
          <w:tcPr>
            <w:tcW w:w="3060" w:type="dxa"/>
          </w:tcPr>
          <w:p w:rsidR="005A43F2" w:rsidRPr="005A43F2" w:rsidRDefault="005A43F2" w:rsidP="005A43F2">
            <w:pPr>
              <w:jc w:val="both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5A43F2">
              <w:rPr>
                <w:rFonts w:ascii="Palatino Linotype" w:eastAsia="Calibri" w:hAnsi="Palatino Linotype" w:cs="Arial"/>
                <w:sz w:val="20"/>
                <w:szCs w:val="20"/>
              </w:rPr>
              <w:t>Interpretability</w:t>
            </w:r>
          </w:p>
        </w:tc>
        <w:tc>
          <w:tcPr>
            <w:tcW w:w="8100" w:type="dxa"/>
          </w:tcPr>
          <w:p w:rsidR="005A43F2" w:rsidRPr="005A43F2" w:rsidRDefault="005A43F2" w:rsidP="005A43F2">
            <w:pPr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5A43F2">
              <w:rPr>
                <w:rFonts w:ascii="Palatino Linotype" w:eastAsia="Calibri" w:hAnsi="Palatino Linotype" w:cs="Arial"/>
                <w:sz w:val="20"/>
                <w:szCs w:val="20"/>
              </w:rPr>
              <w:t>Information on floor or ceiling effects and the minimal important differences are provided.</w:t>
            </w:r>
          </w:p>
        </w:tc>
      </w:tr>
      <w:bookmarkEnd w:id="0"/>
    </w:tbl>
    <w:p w:rsidR="000C62F2" w:rsidRDefault="005E744B"/>
    <w:sectPr w:rsidR="000C62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C42"/>
    <w:rsid w:val="00427DCC"/>
    <w:rsid w:val="005A43F2"/>
    <w:rsid w:val="005E744B"/>
    <w:rsid w:val="008F5CF9"/>
    <w:rsid w:val="00972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A388D"/>
  <w15:chartTrackingRefBased/>
  <w15:docId w15:val="{E2D36538-FA14-49EB-9C23-BF9F32DE7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43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BCBCA6-0F95-4C24-8008-72FEDC1A79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1310</Characters>
  <Application>Microsoft Office Word</Application>
  <DocSecurity>0</DocSecurity>
  <Lines>10</Lines>
  <Paragraphs>3</Paragraphs>
  <ScaleCrop>false</ScaleCrop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ali</cp:lastModifiedBy>
  <cp:revision>3</cp:revision>
  <dcterms:created xsi:type="dcterms:W3CDTF">2020-03-29T14:01:00Z</dcterms:created>
  <dcterms:modified xsi:type="dcterms:W3CDTF">2020-03-29T14:02:00Z</dcterms:modified>
</cp:coreProperties>
</file>